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color w:val="40404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32"/>
          <w:szCs w:val="32"/>
          <w:rtl w:val="0"/>
        </w:rPr>
        <w:t xml:space="preserve"> CAF y Fundación Avina premian la creatividad y visión de futuro de las ciudades latinoamericanas en tiempos de crisis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a6a6a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Hasta el 27 de noviembre se recibirán ideas que describan intervenciones creativas e innovadoras, en favor de brindar soluciones a los diferentes desafíos que ha planteado la pandemia del COVID-19 a las ciudades.</w:t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  <w:color w:val="a6a6a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a6a6a6"/>
          <w:sz w:val="22"/>
          <w:szCs w:val="22"/>
          <w:rtl w:val="0"/>
        </w:rPr>
        <w:t xml:space="preserve">(México, 26 de octubre de 2020).</w:t>
      </w:r>
      <w:r w:rsidDel="00000000" w:rsidR="00000000" w:rsidRPr="00000000">
        <w:rPr>
          <w:rFonts w:ascii="Arial Narrow" w:cs="Arial Narrow" w:eastAsia="Arial Narrow" w:hAnsi="Arial Narrow"/>
          <w:color w:val="80808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La pandemia ha generado grandes costos a nivel global en términos de pérdidas de vidas, a la vez que en los planos social y económico ha alterado de manera significativa la vida en nuestras ciudades. Sin embargo, esta nueva dinámica abre una oportunidad para repensar el patrón de desarrollo urbano de América Latina y proponer un nuevo recorrido hacia ciudades más sostenibles y resilientes. Partiendo de esta premisa, la iniciativa </w:t>
      </w:r>
      <w:r w:rsidDel="00000000" w:rsidR="00000000" w:rsidRPr="00000000">
        <w:rPr>
          <w:rFonts w:ascii="Arial Narrow" w:cs="Arial Narrow" w:eastAsia="Arial Narrow" w:hAnsi="Arial Narrow"/>
          <w:i w:val="1"/>
          <w:color w:val="212529"/>
          <w:sz w:val="22"/>
          <w:szCs w:val="22"/>
          <w:rtl w:val="0"/>
        </w:rPr>
        <w:t xml:space="preserve">Ciudades Con Futuro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CAF -banco de desarrollo de América Latina-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en colaboración con la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Fundación Avina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, lanzan el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Arial Narrow" w:cs="Arial Narrow" w:eastAsia="Arial Narrow" w:hAnsi="Arial Narrow"/>
            <w:b w:val="1"/>
            <w:i w:val="1"/>
            <w:color w:val="0563c1"/>
            <w:sz w:val="22"/>
            <w:szCs w:val="22"/>
            <w:u w:val="single"/>
            <w:rtl w:val="0"/>
          </w:rPr>
          <w:t xml:space="preserve">concurso de ideas COVID-19: nuevas oportunidades para ciudades sostenibles</w:t>
        </w:r>
      </w:hyperlink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Con el concurso se procura alentar la presentación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ideas aún no implementadas que describan intervenciones creativas e innovadoras 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para hacer frente a los diferentes desafíos que se han impuesto a las ciudades en el período de transición hacia la post-pandemia. Las soluciones propuestas deben considerar de manera integral elementos relacionados a, al menos, una de las siguientes dimensiones urbanas: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espacios públicos;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espacios de uso colectivo; asentamientos informales; movilidad no motorizada y transporte público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Se preseleccionarán y reconocerán con una mención especial a tres propuestas, acompañadas con la documentación soporte indicada en las bases. Del conjunto de ideas presentadas, la mejor recibirá un premio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USD 10.000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, la segunda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USD 5.000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 y la tercera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USD 3.000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El llamado se extiende a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estudiantes universitarios, profesionales, organizaciones sin fines de lucro, miembros de la sociedad civil, asociaciones comunitarias y, en general, a todas las personas interesadas en el desarrollo urbano 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que estén dispuestas a compartir sus ideas para contribuir a mejorar la realidad post-pandemia en las ciudades de América Latina y el Caribe. Las ideas podrán presentarse de forma individual o grupal, en idioma español, portugués o inglés, y tener potencial de implementación en países miembros de CAF.</w:t>
      </w:r>
    </w:p>
    <w:p w:rsidR="00000000" w:rsidDel="00000000" w:rsidP="00000000" w:rsidRDefault="00000000" w:rsidRPr="00000000" w14:paraId="0000000C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 Narrow" w:cs="Arial Narrow" w:eastAsia="Arial Narrow" w:hAnsi="Arial Narrow"/>
          <w:b w:val="1"/>
          <w:color w:val="212529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Se espera recibir ideas germinadas como respuesta o consecuencia de la pandemia, pero fundamentalmente, pensadas para un horizonte más allá de la coyuntura actual, que permitan atender problemas que existían antes de la llegada del COVID-19, vinculados principalmente a los temas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resiliencia, inclusión social, sostenibilidad ambiental y productividad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La convocatoria estará abierta hasta las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23:59 (hora de Caracas) del 27 de noviembre de 2020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. Conoce las condiciones para presentar tu idea y las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563c1"/>
            <w:sz w:val="22"/>
            <w:szCs w:val="22"/>
            <w:u w:val="single"/>
            <w:rtl w:val="0"/>
          </w:rPr>
          <w:t xml:space="preserve">bases generales del concurso aquí</w:t>
        </w:r>
      </w:hyperlink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0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9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83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CAF, Dirección de Comunicación Estratégica, </w:t>
      </w:r>
      <w:hyperlink r:id="rId11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prensa@caf.com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Encuéntrenos en: Facebook: </w:t>
      </w:r>
      <w:hyperlink r:id="rId12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/ Twitter: @AgendaCAF</w:t>
      </w: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-118752</wp:posOffset>
          </wp:positionH>
          <wp:positionV relativeFrom="paragraph">
            <wp:posOffset>-166806</wp:posOffset>
          </wp:positionV>
          <wp:extent cx="1889760" cy="600710"/>
          <wp:effectExtent b="0" l="0" r="0" t="0"/>
          <wp:wrapSquare wrapText="bothSides" distB="0" distT="0" distL="114300" distR="114300"/>
          <wp:docPr descr="Imagen que contiene tabla&#10;&#10;Descripción generada automáticamente" id="5" name="image1.png"/>
          <a:graphic>
            <a:graphicData uri="http://schemas.openxmlformats.org/drawingml/2006/picture">
              <pic:pic>
                <pic:nvPicPr>
                  <pic:cNvPr descr="Imagen que contiene tabla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9760" cy="6007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33F9"/>
    <w:pPr>
      <w:spacing w:after="0" w:line="240" w:lineRule="auto"/>
    </w:pPr>
    <w:rPr>
      <w:sz w:val="24"/>
      <w:szCs w:val="24"/>
      <w:lang w:val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5933F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ES_tradnl"/>
    </w:rPr>
  </w:style>
  <w:style w:type="paragraph" w:styleId="Sinespaciado">
    <w:name w:val="No Spacing"/>
    <w:uiPriority w:val="1"/>
    <w:qFormat w:val="1"/>
    <w:rsid w:val="005933F9"/>
    <w:pPr>
      <w:spacing w:after="0" w:line="240" w:lineRule="auto"/>
    </w:pPr>
  </w:style>
  <w:style w:type="paragraph" w:styleId="EstiloNormativaTexto" w:customStyle="1">
    <w:name w:val="Estilo Normativa Texto"/>
    <w:basedOn w:val="Normal"/>
    <w:rsid w:val="005933F9"/>
    <w:pPr>
      <w:ind w:left="680"/>
      <w:jc w:val="both"/>
    </w:pPr>
    <w:rPr>
      <w:rFonts w:ascii="Arial" w:cs="Arial" w:eastAsia="Times New Roman" w:hAnsi="Arial"/>
      <w:sz w:val="20"/>
      <w:lang w:val="es-VE"/>
    </w:rPr>
  </w:style>
  <w:style w:type="paragraph" w:styleId="Encabezado">
    <w:name w:val="header"/>
    <w:basedOn w:val="Normal"/>
    <w:link w:val="EncabezadoCar"/>
    <w:uiPriority w:val="99"/>
    <w:unhideWhenUsed w:val="1"/>
    <w:rsid w:val="005933F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933F9"/>
    <w:rPr>
      <w:sz w:val="24"/>
      <w:szCs w:val="24"/>
      <w:lang w:val="es-CO"/>
    </w:rPr>
  </w:style>
  <w:style w:type="paragraph" w:styleId="Piedepgina">
    <w:name w:val="footer"/>
    <w:basedOn w:val="Normal"/>
    <w:link w:val="PiedepginaCar"/>
    <w:uiPriority w:val="99"/>
    <w:unhideWhenUsed w:val="1"/>
    <w:rsid w:val="005933F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933F9"/>
    <w:rPr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 w:val="1"/>
    <w:rsid w:val="009F5DA8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9F5DA8"/>
    <w:rPr>
      <w:color w:val="605e5c"/>
      <w:shd w:color="auto" w:fill="e1dfdd" w:val="cle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0B4D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0B4D"/>
    <w:rPr>
      <w:rFonts w:ascii="Segoe UI" w:cs="Segoe UI" w:hAnsi="Segoe UI"/>
      <w:sz w:val="18"/>
      <w:szCs w:val="18"/>
      <w:lang w:val="es-CO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A0B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A0B4D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A0B4D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A0B4D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A0B4D"/>
    <w:rPr>
      <w:b w:val="1"/>
      <w:bCs w:val="1"/>
      <w:sz w:val="20"/>
      <w:szCs w:val="20"/>
      <w:lang w:val="es-C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rensa@caf.com" TargetMode="External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hyperlink" Target="https://www.facebook.com/CAF.America.Latin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af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af.com/es/temas/c/ciudades/soluciones-urbanas/" TargetMode="External"/><Relationship Id="rId8" Type="http://schemas.openxmlformats.org/officeDocument/2006/relationships/hyperlink" Target="https://www.caf.com/es/temas/c/ciudades/soluciones-urbana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/4yRznhU10bSIlejvcfW27UNQ==">AMUW2mUU74AS2zymoMw0mf1bWQBXn/tAhsmbSvlz0jx7ganNvIFywI8KnBakluLQzMlFRpXVbU4zpk5J0TxueIHuMKHTqj/9CaCevS/mcjQWjFJtUvOoSRG4O65QwT1qDi3OeQ6bIvG+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2020-10-26T16:23:00Z</dcterms:created>
  <dc:creator>Diana Lache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b1be8bcc-0002-4fb0-94a9-da3142725cb9</vt:lpwstr>
  </property>
</Properties>
</file>